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0A22" w14:textId="5C9AFE71" w:rsidR="00922486" w:rsidRDefault="002C43EF" w:rsidP="00922486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>
        <w:rPr>
          <w:color w:val="auto"/>
          <w:sz w:val="48"/>
          <w:szCs w:val="48"/>
        </w:rPr>
        <w:t>State code 23: Wind farm development</w:t>
      </w:r>
    </w:p>
    <w:p w14:paraId="41202DC3" w14:textId="77777777" w:rsidR="00922486" w:rsidRPr="00922486" w:rsidRDefault="00922486" w:rsidP="00922486">
      <w:pPr>
        <w:rPr>
          <w:sz w:val="16"/>
          <w:szCs w:val="16"/>
          <w:lang w:eastAsia="en-AU"/>
        </w:rPr>
      </w:pPr>
    </w:p>
    <w:p w14:paraId="78986AFB" w14:textId="0C077313" w:rsidR="00653530" w:rsidRPr="00F90F86" w:rsidRDefault="00315F07" w:rsidP="00F90F86">
      <w:pPr>
        <w:rPr>
          <w:color w:val="262627" w:themeColor="text1" w:themeShade="80"/>
        </w:rPr>
      </w:pPr>
      <w:hyperlink r:id="rId8" w:history="1">
        <w:r w:rsidR="004663E2" w:rsidRPr="00B03A29">
          <w:rPr>
            <w:rStyle w:val="Hyperlink"/>
            <w:b w:val="0"/>
            <w:color w:val="auto"/>
          </w:rPr>
          <w:t>Planning guideline State code 23: Wind farm development</w:t>
        </w:r>
        <w:r w:rsidR="004663E2" w:rsidRPr="00B03A29">
          <w:rPr>
            <w:rStyle w:val="Hyperlink"/>
            <w:b w:val="0"/>
            <w:color w:val="auto"/>
            <w:u w:val="none"/>
          </w:rPr>
          <w:t xml:space="preserve"> </w:t>
        </w:r>
      </w:hyperlink>
      <w:r w:rsidR="00F90F86" w:rsidRPr="00B03A29">
        <w:rPr>
          <w:rFonts w:cs="Arial"/>
          <w:color w:val="262627" w:themeColor="text1" w:themeShade="80"/>
        </w:rPr>
        <w:t>provides direction on how to address this code.</w:t>
      </w:r>
    </w:p>
    <w:p w14:paraId="69259402" w14:textId="77777777" w:rsidR="00922486" w:rsidRPr="00922486" w:rsidRDefault="00922486" w:rsidP="00AF6057">
      <w:pPr>
        <w:pStyle w:val="BodyText1"/>
        <w:rPr>
          <w:b/>
          <w:sz w:val="16"/>
          <w:szCs w:val="16"/>
        </w:rPr>
      </w:pPr>
    </w:p>
    <w:p w14:paraId="660C39B3" w14:textId="6034EAEE" w:rsidR="000323D3" w:rsidRDefault="000323D3" w:rsidP="000323D3">
      <w:pPr>
        <w:pStyle w:val="BodyText1"/>
        <w:spacing w:after="0"/>
        <w:rPr>
          <w:b/>
          <w:sz w:val="32"/>
          <w:szCs w:val="32"/>
        </w:rPr>
      </w:pPr>
      <w:r w:rsidRPr="002C43EF">
        <w:rPr>
          <w:b/>
          <w:sz w:val="32"/>
          <w:szCs w:val="32"/>
        </w:rPr>
        <w:t>Table 23</w:t>
      </w:r>
      <w:r w:rsidR="006E27B4" w:rsidRPr="002C43EF">
        <w:rPr>
          <w:b/>
          <w:sz w:val="32"/>
          <w:szCs w:val="32"/>
        </w:rPr>
        <w:t>.</w:t>
      </w:r>
      <w:r w:rsidRPr="002C43EF">
        <w:rPr>
          <w:b/>
          <w:sz w:val="32"/>
          <w:szCs w:val="32"/>
        </w:rPr>
        <w:t>1: Material change of use</w:t>
      </w:r>
    </w:p>
    <w:tbl>
      <w:tblPr>
        <w:tblW w:w="14593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9356"/>
        <w:gridCol w:w="5237"/>
      </w:tblGrid>
      <w:tr w:rsidR="007B2C26" w:rsidRPr="00107E4E" w14:paraId="26A3F953" w14:textId="15F2C02A" w:rsidTr="007B2C26">
        <w:trPr>
          <w:tblHeader/>
        </w:trPr>
        <w:tc>
          <w:tcPr>
            <w:tcW w:w="9356" w:type="dxa"/>
            <w:shd w:val="clear" w:color="auto" w:fill="263746"/>
            <w:hideMark/>
          </w:tcPr>
          <w:p w14:paraId="4AE74DE4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7B2C26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5237" w:type="dxa"/>
            <w:shd w:val="clear" w:color="auto" w:fill="263746"/>
          </w:tcPr>
          <w:p w14:paraId="1CC2D19E" w14:textId="148F8CA0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7B2C26" w:rsidRPr="00107E4E" w14:paraId="5C7EF97A" w14:textId="78F06360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7BA0A24A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Protected </w:t>
            </w:r>
            <w:r>
              <w:rPr>
                <w:b/>
                <w:bCs/>
              </w:rPr>
              <w:t>wildlife</w:t>
            </w:r>
            <w:r>
              <w:rPr>
                <w:b/>
              </w:rPr>
              <w:t xml:space="preserve"> and associated habitats and areas of high ecological value 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2156EE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5E3F6B43" w14:textId="4F10C872" w:rsidTr="007B2C26">
        <w:trPr>
          <w:trHeight w:val="467"/>
        </w:trPr>
        <w:tc>
          <w:tcPr>
            <w:tcW w:w="9356" w:type="dxa"/>
          </w:tcPr>
          <w:p w14:paraId="0E359C42" w14:textId="77777777" w:rsidR="007B2C26" w:rsidRDefault="007B2C26" w:rsidP="00B96530">
            <w:pPr>
              <w:pStyle w:val="BodyText1"/>
              <w:spacing w:after="0"/>
            </w:pPr>
            <w:r w:rsidRPr="00107E4E">
              <w:rPr>
                <w:b/>
              </w:rPr>
              <w:t>PO</w:t>
            </w:r>
            <w:r>
              <w:rPr>
                <w:b/>
              </w:rPr>
              <w:t>1</w:t>
            </w:r>
            <w:r w:rsidRPr="00107E4E">
              <w:t xml:space="preserve"> Development is </w:t>
            </w:r>
            <w:r>
              <w:t xml:space="preserve">located and </w:t>
            </w:r>
            <w:r w:rsidRPr="00E254D2">
              <w:t xml:space="preserve">designed </w:t>
            </w:r>
            <w:r w:rsidRPr="00107E4E">
              <w:t>to ensure that</w:t>
            </w:r>
            <w:r>
              <w:t xml:space="preserve">: </w:t>
            </w:r>
          </w:p>
          <w:p w14:paraId="39B848C6" w14:textId="77777777" w:rsidR="007B2C26" w:rsidRDefault="007B2C26" w:rsidP="007B2C26">
            <w:pPr>
              <w:pStyle w:val="BodyText1"/>
              <w:numPr>
                <w:ilvl w:val="0"/>
                <w:numId w:val="37"/>
              </w:numPr>
              <w:spacing w:after="0"/>
            </w:pPr>
            <w:r>
              <w:rPr>
                <w:b/>
                <w:bCs/>
              </w:rPr>
              <w:t>protected</w:t>
            </w:r>
            <w:r w:rsidRPr="007F71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wildlife</w:t>
            </w:r>
            <w:r>
              <w:t xml:space="preserve"> and </w:t>
            </w:r>
            <w:r w:rsidRPr="004C524A">
              <w:t>associated habitats</w:t>
            </w:r>
            <w:r>
              <w:t>;</w:t>
            </w:r>
            <w:r w:rsidRPr="004C524A">
              <w:t xml:space="preserve"> and</w:t>
            </w:r>
            <w:r>
              <w:t xml:space="preserve"> </w:t>
            </w:r>
          </w:p>
          <w:p w14:paraId="6DCCA1A1" w14:textId="77777777" w:rsidR="007B2C26" w:rsidRDefault="007B2C26" w:rsidP="007B2C26">
            <w:pPr>
              <w:pStyle w:val="BodyText1"/>
              <w:numPr>
                <w:ilvl w:val="0"/>
                <w:numId w:val="37"/>
              </w:numPr>
              <w:spacing w:after="0"/>
            </w:pPr>
            <w:r>
              <w:t xml:space="preserve">areas of </w:t>
            </w:r>
            <w:r w:rsidRPr="00B9187D">
              <w:rPr>
                <w:b/>
                <w:bCs/>
              </w:rPr>
              <w:t>high ecological value</w:t>
            </w:r>
          </w:p>
          <w:p w14:paraId="5E618530" w14:textId="77777777" w:rsidR="007B2C26" w:rsidRPr="00107E4E" w:rsidRDefault="007B2C26" w:rsidP="00B96530">
            <w:pPr>
              <w:pStyle w:val="BodyText1"/>
              <w:spacing w:after="0"/>
            </w:pPr>
            <w:r>
              <w:t>are</w:t>
            </w:r>
            <w:r w:rsidRPr="00107E4E">
              <w:t xml:space="preserve"> protected from adverse impacts.</w:t>
            </w:r>
          </w:p>
        </w:tc>
        <w:tc>
          <w:tcPr>
            <w:tcW w:w="5237" w:type="dxa"/>
          </w:tcPr>
          <w:p w14:paraId="5A272743" w14:textId="77777777" w:rsidR="007B2C26" w:rsidRPr="002C43EF" w:rsidRDefault="007B2C26" w:rsidP="007B2C26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51E68B0A" w14:textId="2B1A22D0" w:rsidR="007B2C26" w:rsidRPr="00107E4E" w:rsidRDefault="007B2C26" w:rsidP="007B2C26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7B2C26" w:rsidRPr="00107E4E" w14:paraId="74EECC05" w14:textId="1470DF5E" w:rsidTr="007B2C26">
        <w:trPr>
          <w:trHeight w:val="496"/>
        </w:trPr>
        <w:tc>
          <w:tcPr>
            <w:tcW w:w="9356" w:type="dxa"/>
          </w:tcPr>
          <w:p w14:paraId="4202C79A" w14:textId="77777777" w:rsidR="007B2C26" w:rsidRDefault="007B2C26" w:rsidP="00B96530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 xml:space="preserve">PO2 </w:t>
            </w:r>
            <w:r w:rsidRPr="00517629">
              <w:rPr>
                <w:bCs/>
              </w:rPr>
              <w:t>Development is constructed to ensure</w:t>
            </w:r>
            <w:r>
              <w:rPr>
                <w:b/>
              </w:rPr>
              <w:t xml:space="preserve"> </w:t>
            </w:r>
            <w:r w:rsidRPr="004B7C38">
              <w:rPr>
                <w:bCs/>
              </w:rPr>
              <w:t>that</w:t>
            </w:r>
            <w:r>
              <w:rPr>
                <w:bCs/>
              </w:rPr>
              <w:t>:</w:t>
            </w:r>
          </w:p>
          <w:p w14:paraId="7FB025C0" w14:textId="77777777" w:rsidR="007B2C26" w:rsidRPr="007F7120" w:rsidRDefault="007B2C26" w:rsidP="007B2C26">
            <w:pPr>
              <w:pStyle w:val="BodyText1"/>
              <w:numPr>
                <w:ilvl w:val="0"/>
                <w:numId w:val="38"/>
              </w:numPr>
              <w:spacing w:after="0"/>
              <w:rPr>
                <w:b/>
              </w:rPr>
            </w:pPr>
            <w:r>
              <w:rPr>
                <w:b/>
                <w:bCs/>
              </w:rPr>
              <w:t>protected</w:t>
            </w:r>
            <w:r w:rsidRPr="00373E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wildlife</w:t>
            </w:r>
            <w:r>
              <w:t xml:space="preserve"> and </w:t>
            </w:r>
            <w:r w:rsidRPr="00107E4E">
              <w:t xml:space="preserve">associated </w:t>
            </w:r>
            <w:r>
              <w:t>habita</w:t>
            </w:r>
            <w:r w:rsidRPr="004C524A">
              <w:t>ts</w:t>
            </w:r>
            <w:r>
              <w:t>; and</w:t>
            </w:r>
          </w:p>
          <w:p w14:paraId="23A5298B" w14:textId="77777777" w:rsidR="007B2C26" w:rsidRPr="007F7120" w:rsidRDefault="007B2C26" w:rsidP="007B2C26">
            <w:pPr>
              <w:pStyle w:val="BodyText1"/>
              <w:numPr>
                <w:ilvl w:val="0"/>
                <w:numId w:val="38"/>
              </w:numPr>
              <w:spacing w:after="0"/>
              <w:rPr>
                <w:b/>
              </w:rPr>
            </w:pPr>
            <w:r>
              <w:t xml:space="preserve">areas of </w:t>
            </w:r>
            <w:r w:rsidRPr="00B9187D">
              <w:rPr>
                <w:b/>
                <w:bCs/>
              </w:rPr>
              <w:t>high ecological value</w:t>
            </w:r>
            <w:r w:rsidRPr="004B7C38">
              <w:rPr>
                <w:bCs/>
              </w:rPr>
              <w:t xml:space="preserve"> </w:t>
            </w:r>
          </w:p>
          <w:p w14:paraId="12377777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>
              <w:t>are</w:t>
            </w:r>
            <w:r w:rsidRPr="00107E4E">
              <w:t xml:space="preserve"> protected from adverse impacts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</w:tcPr>
          <w:p w14:paraId="4935DFBB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495BC0ED" w14:textId="32D4E6D2" w:rsidTr="007B2C26">
        <w:trPr>
          <w:trHeight w:val="402"/>
        </w:trPr>
        <w:tc>
          <w:tcPr>
            <w:tcW w:w="9356" w:type="dxa"/>
          </w:tcPr>
          <w:p w14:paraId="0815DA13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PO3 </w:t>
            </w:r>
            <w:r w:rsidRPr="004B7C38">
              <w:rPr>
                <w:bCs/>
              </w:rPr>
              <w:t xml:space="preserve">Development operations ensure that </w:t>
            </w:r>
            <w:r>
              <w:rPr>
                <w:b/>
                <w:bCs/>
              </w:rPr>
              <w:t>protected</w:t>
            </w:r>
            <w:r w:rsidRPr="00373E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wildlife </w:t>
            </w:r>
            <w:r w:rsidRPr="007F7120">
              <w:t>and birds and bats</w:t>
            </w:r>
            <w:r>
              <w:rPr>
                <w:b/>
                <w:bCs/>
              </w:rPr>
              <w:t xml:space="preserve"> </w:t>
            </w:r>
            <w:r>
              <w:t>are</w:t>
            </w:r>
            <w:r w:rsidRPr="00107E4E">
              <w:t xml:space="preserve"> protected from adverse impacts.</w:t>
            </w:r>
            <w:r>
              <w:t xml:space="preserve"> </w:t>
            </w:r>
          </w:p>
        </w:tc>
        <w:tc>
          <w:tcPr>
            <w:tcW w:w="5237" w:type="dxa"/>
          </w:tcPr>
          <w:p w14:paraId="2CA7D09F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3F23B451" w14:textId="3CFB1E6E" w:rsidTr="007B2C26">
        <w:trPr>
          <w:trHeight w:val="450"/>
        </w:trPr>
        <w:tc>
          <w:tcPr>
            <w:tcW w:w="9356" w:type="dxa"/>
          </w:tcPr>
          <w:p w14:paraId="60051C83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PO4 </w:t>
            </w:r>
            <w:r>
              <w:rPr>
                <w:bCs/>
              </w:rPr>
              <w:t xml:space="preserve">Areas cleared for the construction of a </w:t>
            </w:r>
            <w:r w:rsidRPr="007F7120">
              <w:rPr>
                <w:b/>
              </w:rPr>
              <w:t>wind farm</w:t>
            </w:r>
            <w:r>
              <w:rPr>
                <w:bCs/>
              </w:rPr>
              <w:t xml:space="preserve"> are progressively </w:t>
            </w:r>
            <w:r w:rsidRPr="00B9187D">
              <w:rPr>
                <w:b/>
              </w:rPr>
              <w:t>rehabilitated</w:t>
            </w:r>
            <w:r>
              <w:rPr>
                <w:bCs/>
              </w:rPr>
              <w:t xml:space="preserve"> to the maximum extent practicable following construction without impeding the safe and efficient operations and maintenance of the </w:t>
            </w:r>
            <w:r w:rsidRPr="007F7120">
              <w:rPr>
                <w:b/>
              </w:rPr>
              <w:t>wind farm</w:t>
            </w:r>
            <w:r w:rsidRPr="004B7C38">
              <w:rPr>
                <w:bCs/>
              </w:rPr>
              <w:t>.</w:t>
            </w:r>
            <w:r>
              <w:rPr>
                <w:b/>
              </w:rPr>
              <w:t xml:space="preserve">  </w:t>
            </w:r>
          </w:p>
        </w:tc>
        <w:tc>
          <w:tcPr>
            <w:tcW w:w="5237" w:type="dxa"/>
          </w:tcPr>
          <w:p w14:paraId="08CB446C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244798" w14:paraId="63D05D6F" w14:textId="790C8A45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57C96263" w14:textId="77777777" w:rsidR="007B2C26" w:rsidRPr="00244798" w:rsidRDefault="007B2C26" w:rsidP="00B96530">
            <w:pPr>
              <w:pStyle w:val="BodyText1"/>
              <w:spacing w:after="0"/>
              <w:rPr>
                <w:b/>
              </w:rPr>
            </w:pPr>
            <w:r w:rsidRPr="00244798">
              <w:rPr>
                <w:b/>
              </w:rPr>
              <w:t>Natural drainage patterns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1216B41" w14:textId="77777777" w:rsidR="007B2C26" w:rsidRPr="00244798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244798" w14:paraId="6D9DF4F8" w14:textId="2A1C95ED" w:rsidTr="007B2C26">
        <w:tc>
          <w:tcPr>
            <w:tcW w:w="9356" w:type="dxa"/>
            <w:shd w:val="clear" w:color="auto" w:fill="auto"/>
          </w:tcPr>
          <w:p w14:paraId="4B9D53A0" w14:textId="77777777" w:rsidR="007B2C26" w:rsidRPr="00244798" w:rsidRDefault="007B2C26" w:rsidP="00B96530">
            <w:pPr>
              <w:pStyle w:val="BodyText1"/>
              <w:spacing w:after="0"/>
              <w:rPr>
                <w:b/>
              </w:rPr>
            </w:pPr>
            <w:r w:rsidRPr="00244798">
              <w:rPr>
                <w:b/>
              </w:rPr>
              <w:t>PO</w:t>
            </w:r>
            <w:r>
              <w:rPr>
                <w:b/>
              </w:rPr>
              <w:t>5</w:t>
            </w:r>
            <w:r w:rsidRPr="00244798">
              <w:t xml:space="preserve"> </w:t>
            </w:r>
            <w:r>
              <w:t xml:space="preserve">The </w:t>
            </w:r>
            <w:r w:rsidRPr="007F7120">
              <w:rPr>
                <w:b/>
                <w:bCs/>
              </w:rPr>
              <w:t>wind farm</w:t>
            </w:r>
            <w:r w:rsidRPr="007F7120">
              <w:t>,</w:t>
            </w:r>
            <w:r>
              <w:t xml:space="preserve"> including ancillary infrastructure, is designed and sited to minimise crossings of and interference with natural drainage lines, waterways and wetlands.</w:t>
            </w:r>
          </w:p>
        </w:tc>
        <w:tc>
          <w:tcPr>
            <w:tcW w:w="5237" w:type="dxa"/>
          </w:tcPr>
          <w:p w14:paraId="25B05B93" w14:textId="77777777" w:rsidR="007B2C26" w:rsidRPr="00244798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246EDCB5" w14:textId="79B5CBE6" w:rsidTr="007B2C26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FCBB1BF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Protecting water quality and e</w:t>
            </w:r>
            <w:r w:rsidRPr="008D33A3">
              <w:rPr>
                <w:b/>
              </w:rPr>
              <w:t xml:space="preserve">rosion control 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4E5C2AEB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7AF1199C" w14:textId="40E756A8" w:rsidTr="007B2C26">
        <w:trPr>
          <w:trHeight w:val="170"/>
        </w:trPr>
        <w:tc>
          <w:tcPr>
            <w:tcW w:w="9356" w:type="dxa"/>
          </w:tcPr>
          <w:p w14:paraId="4C15C9F2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  <w:r w:rsidRPr="008D33A3">
              <w:rPr>
                <w:b/>
              </w:rPr>
              <w:t>PO</w:t>
            </w:r>
            <w:r>
              <w:rPr>
                <w:b/>
              </w:rPr>
              <w:t>6</w:t>
            </w:r>
            <w:r w:rsidRPr="008D33A3">
              <w:rPr>
                <w:b/>
              </w:rPr>
              <w:t xml:space="preserve"> </w:t>
            </w:r>
            <w:r w:rsidRPr="008D33A3">
              <w:t xml:space="preserve">Development is </w:t>
            </w:r>
            <w:r w:rsidRPr="00E254D2">
              <w:t xml:space="preserve">designed </w:t>
            </w:r>
            <w:r w:rsidRPr="008D33A3">
              <w:t xml:space="preserve">to avoid areas of </w:t>
            </w:r>
            <w:r w:rsidRPr="007F7120">
              <w:rPr>
                <w:b/>
                <w:bCs/>
              </w:rPr>
              <w:t>high erosion risk</w:t>
            </w:r>
            <w:r>
              <w:t>,</w:t>
            </w:r>
            <w:r w:rsidRPr="008D33A3">
              <w:t xml:space="preserve"> where failure of erosion management devices would result in permanent and/or adverse impacts on receiving water</w:t>
            </w:r>
            <w:r>
              <w:t>ways or wetlands</w:t>
            </w:r>
            <w:r w:rsidRPr="008D33A3">
              <w:t>.</w:t>
            </w:r>
            <w:r w:rsidRPr="008D33A3">
              <w:rPr>
                <w:b/>
              </w:rPr>
              <w:t xml:space="preserve"> </w:t>
            </w:r>
          </w:p>
        </w:tc>
        <w:tc>
          <w:tcPr>
            <w:tcW w:w="5237" w:type="dxa"/>
          </w:tcPr>
          <w:p w14:paraId="05F44A58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7F7120" w14:paraId="6390FB18" w14:textId="07D4C73F" w:rsidTr="007B2C26">
        <w:trPr>
          <w:trHeight w:val="170"/>
        </w:trPr>
        <w:tc>
          <w:tcPr>
            <w:tcW w:w="9356" w:type="dxa"/>
          </w:tcPr>
          <w:p w14:paraId="0E706791" w14:textId="77777777" w:rsidR="007B2C26" w:rsidRDefault="007B2C26" w:rsidP="00B96530">
            <w:pPr>
              <w:pStyle w:val="BodyText1"/>
              <w:spacing w:after="0"/>
              <w:rPr>
                <w:bCs/>
              </w:rPr>
            </w:pPr>
            <w:r w:rsidRPr="008D33A3">
              <w:rPr>
                <w:b/>
              </w:rPr>
              <w:t>PO</w:t>
            </w:r>
            <w:r>
              <w:rPr>
                <w:b/>
              </w:rPr>
              <w:t>7</w:t>
            </w:r>
            <w:r w:rsidRPr="008D33A3">
              <w:rPr>
                <w:b/>
              </w:rPr>
              <w:t xml:space="preserve"> </w:t>
            </w:r>
            <w:r w:rsidRPr="008D33A3">
              <w:t>Development is constructed to</w:t>
            </w:r>
            <w:r w:rsidRPr="008D33A3">
              <w:rPr>
                <w:bCs/>
              </w:rPr>
              <w:t xml:space="preserve"> maintain </w:t>
            </w:r>
            <w:r w:rsidRPr="00373E67">
              <w:t>or improve</w:t>
            </w:r>
            <w:r w:rsidRPr="008D33A3">
              <w:t xml:space="preserve"> </w:t>
            </w:r>
            <w:r w:rsidRPr="008D33A3">
              <w:rPr>
                <w:bCs/>
              </w:rPr>
              <w:t>the water quality of receiving waters</w:t>
            </w:r>
            <w:r>
              <w:rPr>
                <w:bCs/>
              </w:rPr>
              <w:t>, waterways and wetlands by:</w:t>
            </w:r>
          </w:p>
          <w:p w14:paraId="0941DCC0" w14:textId="77777777" w:rsidR="007B2C26" w:rsidRPr="003C61E4" w:rsidRDefault="007B2C26" w:rsidP="007B2C26">
            <w:pPr>
              <w:pStyle w:val="BodyText1"/>
              <w:numPr>
                <w:ilvl w:val="0"/>
                <w:numId w:val="39"/>
              </w:numPr>
              <w:spacing w:after="0"/>
              <w:rPr>
                <w:bCs/>
              </w:rPr>
            </w:pPr>
            <w:r w:rsidRPr="008D33A3">
              <w:t>minimis</w:t>
            </w:r>
            <w:r>
              <w:t xml:space="preserve">ing </w:t>
            </w:r>
            <w:r w:rsidRPr="008D33A3">
              <w:t>erosion and run off</w:t>
            </w:r>
            <w:r>
              <w:t>;</w:t>
            </w:r>
          </w:p>
          <w:p w14:paraId="3EBE78A2" w14:textId="77777777" w:rsidR="007B2C26" w:rsidRPr="00F35E81" w:rsidRDefault="007B2C26" w:rsidP="007B2C26">
            <w:pPr>
              <w:pStyle w:val="BodyText1"/>
              <w:numPr>
                <w:ilvl w:val="0"/>
                <w:numId w:val="39"/>
              </w:numPr>
              <w:spacing w:after="0"/>
              <w:rPr>
                <w:bCs/>
              </w:rPr>
            </w:pPr>
            <w:r>
              <w:t>managing drainage control; and</w:t>
            </w:r>
          </w:p>
          <w:p w14:paraId="2C26B240" w14:textId="77777777" w:rsidR="007B2C26" w:rsidRPr="007F7120" w:rsidRDefault="007B2C26" w:rsidP="007B2C26">
            <w:pPr>
              <w:pStyle w:val="BodyText1"/>
              <w:numPr>
                <w:ilvl w:val="0"/>
                <w:numId w:val="39"/>
              </w:numPr>
              <w:spacing w:after="0"/>
              <w:rPr>
                <w:bCs/>
              </w:rPr>
            </w:pPr>
            <w:r>
              <w:t>preserving the bank stability of affected waterways and drainage lines.</w:t>
            </w:r>
            <w:r w:rsidRPr="008D33A3">
              <w:t xml:space="preserve"> </w:t>
            </w:r>
          </w:p>
        </w:tc>
        <w:tc>
          <w:tcPr>
            <w:tcW w:w="5237" w:type="dxa"/>
          </w:tcPr>
          <w:p w14:paraId="08EC74FC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7F7120" w14:paraId="5D792D9E" w14:textId="7250AAC1" w:rsidTr="007B2C26">
        <w:trPr>
          <w:trHeight w:val="170"/>
        </w:trPr>
        <w:tc>
          <w:tcPr>
            <w:tcW w:w="9356" w:type="dxa"/>
          </w:tcPr>
          <w:p w14:paraId="4BFDAA40" w14:textId="77777777" w:rsidR="007B2C26" w:rsidRPr="007F7120" w:rsidRDefault="007B2C26" w:rsidP="00B96530">
            <w:pPr>
              <w:pStyle w:val="BodyText1"/>
              <w:spacing w:after="0"/>
              <w:rPr>
                <w:b/>
              </w:rPr>
            </w:pPr>
            <w:r w:rsidRPr="007F7120">
              <w:rPr>
                <w:b/>
              </w:rPr>
              <w:t>PO</w:t>
            </w:r>
            <w:r>
              <w:rPr>
                <w:b/>
              </w:rPr>
              <w:t>8</w:t>
            </w:r>
            <w:r w:rsidRPr="008D33A3">
              <w:rPr>
                <w:b/>
              </w:rPr>
              <w:t xml:space="preserve"> </w:t>
            </w:r>
            <w:r w:rsidRPr="0098304E">
              <w:rPr>
                <w:bCs/>
              </w:rPr>
              <w:t>Areas cleared for construction are progressively stabilised</w:t>
            </w:r>
            <w:r w:rsidRPr="00B9187D">
              <w:rPr>
                <w:bCs/>
              </w:rPr>
              <w:t xml:space="preserve"> during</w:t>
            </w:r>
            <w:r w:rsidRPr="005F48BF">
              <w:t xml:space="preserve"> construction</w:t>
            </w:r>
            <w:r>
              <w:rPr>
                <w:bCs/>
              </w:rPr>
              <w:t xml:space="preserve"> to ensure that erosion and run off to the surrounding landscape and </w:t>
            </w:r>
            <w:r w:rsidRPr="0098304E">
              <w:rPr>
                <w:bCs/>
              </w:rPr>
              <w:t>waterways</w:t>
            </w:r>
            <w:r>
              <w:rPr>
                <w:bCs/>
              </w:rPr>
              <w:t xml:space="preserve"> is minimised to the greatest extent possible. </w:t>
            </w:r>
          </w:p>
        </w:tc>
        <w:tc>
          <w:tcPr>
            <w:tcW w:w="5237" w:type="dxa"/>
          </w:tcPr>
          <w:p w14:paraId="1BB3ABB2" w14:textId="77777777" w:rsidR="007B2C26" w:rsidRPr="007F7120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53CA72EA" w14:textId="56CE8F9F" w:rsidTr="007B2C26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0CD7F479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  <w:r w:rsidRPr="007F7120">
              <w:rPr>
                <w:b/>
              </w:rPr>
              <w:lastRenderedPageBreak/>
              <w:t>N</w:t>
            </w:r>
            <w:r w:rsidRPr="008D33A3">
              <w:rPr>
                <w:b/>
              </w:rPr>
              <w:t xml:space="preserve">atural hazards and </w:t>
            </w:r>
            <w:r>
              <w:rPr>
                <w:b/>
              </w:rPr>
              <w:t xml:space="preserve">extreme </w:t>
            </w:r>
            <w:r w:rsidRPr="008D33A3">
              <w:rPr>
                <w:b/>
              </w:rPr>
              <w:t xml:space="preserve">weather events  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4D68BD4C" w14:textId="77777777" w:rsidR="007B2C26" w:rsidRPr="007F7120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6657DB89" w14:textId="4632F416" w:rsidTr="007B2C26">
        <w:trPr>
          <w:trHeight w:val="170"/>
        </w:trPr>
        <w:tc>
          <w:tcPr>
            <w:tcW w:w="9356" w:type="dxa"/>
          </w:tcPr>
          <w:p w14:paraId="18A75440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  <w:r w:rsidRPr="007F7120">
              <w:rPr>
                <w:b/>
              </w:rPr>
              <w:t>PO</w:t>
            </w:r>
            <w:r>
              <w:rPr>
                <w:b/>
              </w:rPr>
              <w:t>9</w:t>
            </w:r>
            <w:r w:rsidRPr="007F7120">
              <w:rPr>
                <w:b/>
              </w:rPr>
              <w:t xml:space="preserve"> </w:t>
            </w:r>
            <w:r w:rsidRPr="007F7120">
              <w:rPr>
                <w:bCs/>
              </w:rPr>
              <w:t xml:space="preserve">Development is </w:t>
            </w:r>
            <w:r>
              <w:rPr>
                <w:bCs/>
              </w:rPr>
              <w:t xml:space="preserve">located, </w:t>
            </w:r>
            <w:r w:rsidRPr="00E254D2">
              <w:rPr>
                <w:bCs/>
              </w:rPr>
              <w:t>designed</w:t>
            </w:r>
            <w:r>
              <w:rPr>
                <w:bCs/>
              </w:rPr>
              <w:t xml:space="preserve">, constructed and operated </w:t>
            </w:r>
            <w:r w:rsidRPr="007F7120">
              <w:rPr>
                <w:bCs/>
              </w:rPr>
              <w:t>to be responsive to</w:t>
            </w:r>
            <w:r w:rsidRPr="007F7120">
              <w:rPr>
                <w:b/>
              </w:rPr>
              <w:t xml:space="preserve"> natural hazards </w:t>
            </w:r>
            <w:r w:rsidRPr="007F7120">
              <w:rPr>
                <w:bCs/>
              </w:rPr>
              <w:t xml:space="preserve">and </w:t>
            </w:r>
            <w:r w:rsidRPr="00B9187D">
              <w:rPr>
                <w:b/>
              </w:rPr>
              <w:t>extreme weather events</w:t>
            </w:r>
            <w:r w:rsidRPr="007F7120">
              <w:rPr>
                <w:bCs/>
              </w:rPr>
              <w:t xml:space="preserve">. </w:t>
            </w:r>
          </w:p>
        </w:tc>
        <w:tc>
          <w:tcPr>
            <w:tcW w:w="5237" w:type="dxa"/>
          </w:tcPr>
          <w:p w14:paraId="2BCAC3EA" w14:textId="77777777" w:rsidR="007B2C26" w:rsidRPr="007F7120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B9187D" w14:paraId="0C33EA38" w14:textId="1CCAAC45" w:rsidTr="007B2C26">
        <w:trPr>
          <w:trHeight w:val="170"/>
        </w:trPr>
        <w:tc>
          <w:tcPr>
            <w:tcW w:w="9356" w:type="dxa"/>
          </w:tcPr>
          <w:p w14:paraId="538E1120" w14:textId="77777777" w:rsidR="007B2C26" w:rsidRPr="00B9187D" w:rsidRDefault="007B2C26" w:rsidP="00B96530">
            <w:pPr>
              <w:pStyle w:val="BodyText1"/>
              <w:spacing w:after="0"/>
              <w:rPr>
                <w:b/>
                <w:highlight w:val="yellow"/>
              </w:rPr>
            </w:pPr>
            <w:r w:rsidRPr="00E254D2">
              <w:rPr>
                <w:b/>
              </w:rPr>
              <w:t>PO</w:t>
            </w:r>
            <w:r w:rsidRPr="00B9187D">
              <w:rPr>
                <w:b/>
              </w:rPr>
              <w:t>10</w:t>
            </w:r>
            <w:r w:rsidRPr="00E254D2">
              <w:rPr>
                <w:b/>
              </w:rPr>
              <w:t xml:space="preserve"> </w:t>
            </w:r>
            <w:r w:rsidRPr="00E254D2">
              <w:rPr>
                <w:bCs/>
              </w:rPr>
              <w:t xml:space="preserve">Development is constructed and operated to protect the safety of people in the event of </w:t>
            </w:r>
            <w:r w:rsidRPr="00B9187D">
              <w:rPr>
                <w:b/>
              </w:rPr>
              <w:t>natural hazards</w:t>
            </w:r>
            <w:r w:rsidRPr="00E254D2">
              <w:rPr>
                <w:bCs/>
              </w:rPr>
              <w:t xml:space="preserve"> or </w:t>
            </w:r>
            <w:r w:rsidRPr="00B9187D">
              <w:rPr>
                <w:b/>
              </w:rPr>
              <w:t>extreme weather events</w:t>
            </w:r>
            <w:r w:rsidRPr="00E254D2">
              <w:rPr>
                <w:bCs/>
              </w:rPr>
              <w:t xml:space="preserve"> occurring. </w:t>
            </w:r>
          </w:p>
        </w:tc>
        <w:tc>
          <w:tcPr>
            <w:tcW w:w="5237" w:type="dxa"/>
          </w:tcPr>
          <w:p w14:paraId="263F98C0" w14:textId="77777777" w:rsidR="007B2C26" w:rsidRPr="00E254D2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B9187D" w14:paraId="13E0C6A7" w14:textId="70D3D4BD" w:rsidTr="007B2C26">
        <w:tc>
          <w:tcPr>
            <w:tcW w:w="9356" w:type="dxa"/>
            <w:shd w:val="clear" w:color="auto" w:fill="D9D9D9" w:themeFill="background1" w:themeFillShade="D9"/>
            <w:hideMark/>
          </w:tcPr>
          <w:p w14:paraId="3EAD27E8" w14:textId="77777777" w:rsidR="007B2C26" w:rsidRPr="00B9187D" w:rsidRDefault="007B2C26" w:rsidP="00B96530">
            <w:pPr>
              <w:pStyle w:val="BodyText1"/>
              <w:spacing w:after="0"/>
              <w:rPr>
                <w:b/>
                <w:highlight w:val="yellow"/>
              </w:rPr>
            </w:pPr>
            <w:r w:rsidRPr="003810E5">
              <w:rPr>
                <w:b/>
              </w:rPr>
              <w:t xml:space="preserve">Acoustic amenity </w:t>
            </w:r>
          </w:p>
        </w:tc>
        <w:tc>
          <w:tcPr>
            <w:tcW w:w="5237" w:type="dxa"/>
            <w:shd w:val="clear" w:color="auto" w:fill="D9D9D9" w:themeFill="background1" w:themeFillShade="D9"/>
          </w:tcPr>
          <w:p w14:paraId="09955272" w14:textId="77777777" w:rsidR="007B2C26" w:rsidRPr="003810E5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57DBB2D2" w14:textId="40889596" w:rsidTr="007B2C26">
        <w:trPr>
          <w:trHeight w:val="474"/>
        </w:trPr>
        <w:tc>
          <w:tcPr>
            <w:tcW w:w="9356" w:type="dxa"/>
          </w:tcPr>
          <w:p w14:paraId="3131A034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  <w:r w:rsidRPr="008D33A3">
              <w:rPr>
                <w:b/>
              </w:rPr>
              <w:t>PO</w:t>
            </w:r>
            <w:r>
              <w:rPr>
                <w:b/>
              </w:rPr>
              <w:t>1</w:t>
            </w:r>
            <w:r w:rsidRPr="00B67E9F">
              <w:rPr>
                <w:b/>
                <w:bCs/>
              </w:rPr>
              <w:t>1</w:t>
            </w:r>
            <w:r>
              <w:t xml:space="preserve"> </w:t>
            </w:r>
            <w:r w:rsidRPr="008D33A3">
              <w:t xml:space="preserve">The predicted acoustic level at all noise affected existing or approved </w:t>
            </w:r>
            <w:r w:rsidRPr="008D33A3">
              <w:rPr>
                <w:b/>
              </w:rPr>
              <w:t>sensitive land uses</w:t>
            </w:r>
            <w:r w:rsidRPr="008D33A3">
              <w:t xml:space="preserve"> on </w:t>
            </w:r>
            <w:r w:rsidRPr="008D33A3">
              <w:rPr>
                <w:b/>
                <w:bCs/>
              </w:rPr>
              <w:t xml:space="preserve">host lots </w:t>
            </w:r>
            <w:r w:rsidRPr="008D33A3">
              <w:t>does not exceed the criteria stated in table 23.2.</w:t>
            </w:r>
          </w:p>
        </w:tc>
        <w:tc>
          <w:tcPr>
            <w:tcW w:w="5237" w:type="dxa"/>
          </w:tcPr>
          <w:p w14:paraId="52DF81D8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D33A3" w14:paraId="0C6836D5" w14:textId="638519F4" w:rsidTr="007B2C26">
        <w:tc>
          <w:tcPr>
            <w:tcW w:w="9356" w:type="dxa"/>
          </w:tcPr>
          <w:p w14:paraId="22680A84" w14:textId="77777777" w:rsidR="007B2C26" w:rsidRPr="008D33A3" w:rsidRDefault="007B2C26" w:rsidP="00B96530">
            <w:pPr>
              <w:pStyle w:val="BodyText1"/>
              <w:spacing w:after="0"/>
            </w:pPr>
            <w:r w:rsidRPr="008D33A3">
              <w:rPr>
                <w:b/>
              </w:rPr>
              <w:t>PO</w:t>
            </w:r>
            <w:r>
              <w:rPr>
                <w:b/>
              </w:rPr>
              <w:t>12</w:t>
            </w:r>
            <w:r w:rsidRPr="008D33A3">
              <w:t xml:space="preserve"> The predicted acoustic level at all noise affected existing or approved </w:t>
            </w:r>
            <w:r w:rsidRPr="008D33A3">
              <w:rPr>
                <w:b/>
              </w:rPr>
              <w:t xml:space="preserve">sensitive land uses </w:t>
            </w:r>
            <w:r w:rsidRPr="008D33A3">
              <w:rPr>
                <w:bCs/>
              </w:rPr>
              <w:t>on</w:t>
            </w:r>
            <w:r w:rsidRPr="008D33A3">
              <w:rPr>
                <w:b/>
              </w:rPr>
              <w:t xml:space="preserve"> </w:t>
            </w:r>
            <w:r w:rsidRPr="008D33A3">
              <w:rPr>
                <w:b/>
                <w:bCs/>
              </w:rPr>
              <w:t>non-host lots</w:t>
            </w:r>
            <w:r w:rsidRPr="008D33A3">
              <w:t xml:space="preserve"> does not exceed the criteria stated in table 23.3.</w:t>
            </w:r>
          </w:p>
        </w:tc>
        <w:tc>
          <w:tcPr>
            <w:tcW w:w="5237" w:type="dxa"/>
          </w:tcPr>
          <w:p w14:paraId="0441815B" w14:textId="77777777" w:rsidR="007B2C26" w:rsidRPr="008D33A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139E172E" w14:textId="600C401F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150C4ACB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107E4E">
              <w:rPr>
                <w:b/>
              </w:rPr>
              <w:t>Electromagnetic interference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5104CAB7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20E8C998" w14:textId="3FE1A612" w:rsidTr="007B2C26">
        <w:tc>
          <w:tcPr>
            <w:tcW w:w="9356" w:type="dxa"/>
            <w:hideMark/>
          </w:tcPr>
          <w:p w14:paraId="32EBF37D" w14:textId="77777777" w:rsidR="007B2C26" w:rsidRPr="00107E4E" w:rsidRDefault="007B2C26" w:rsidP="00B96530">
            <w:pPr>
              <w:pStyle w:val="BodyText1"/>
              <w:spacing w:after="0"/>
            </w:pPr>
            <w:r w:rsidRPr="00107E4E">
              <w:rPr>
                <w:b/>
              </w:rPr>
              <w:t>PO</w:t>
            </w:r>
            <w:r>
              <w:rPr>
                <w:b/>
              </w:rPr>
              <w:t>13</w:t>
            </w:r>
            <w:r w:rsidRPr="00107E4E">
              <w:t xml:space="preserve"> Development is </w:t>
            </w:r>
            <w:r w:rsidRPr="001C20E7">
              <w:t>designed</w:t>
            </w:r>
            <w:r w:rsidRPr="00107E4E">
              <w:t xml:space="preserve"> </w:t>
            </w:r>
            <w:r>
              <w:t xml:space="preserve">and/or mitigation measures are used </w:t>
            </w:r>
            <w:r w:rsidRPr="00107E4E">
              <w:t>to protect pre-existing television, radar and radio transmission and reception from</w:t>
            </w:r>
            <w:r w:rsidRPr="00107E4E" w:rsidDel="00A9046E">
              <w:t xml:space="preserve"> </w:t>
            </w:r>
            <w:r w:rsidRPr="00107E4E">
              <w:rPr>
                <w:b/>
              </w:rPr>
              <w:t>electromagnetic interference</w:t>
            </w:r>
            <w:r w:rsidRPr="00107E4E">
              <w:t>.</w:t>
            </w:r>
          </w:p>
        </w:tc>
        <w:tc>
          <w:tcPr>
            <w:tcW w:w="5237" w:type="dxa"/>
          </w:tcPr>
          <w:p w14:paraId="4EACE757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6887BC59" w14:textId="5A33D689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1D8A9520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107E4E">
              <w:rPr>
                <w:b/>
              </w:rPr>
              <w:t>Shadow flicker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11BA2F1F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649C6411" w14:textId="2EAE7A93" w:rsidTr="007B2C26">
        <w:trPr>
          <w:trHeight w:val="450"/>
        </w:trPr>
        <w:tc>
          <w:tcPr>
            <w:tcW w:w="9356" w:type="dxa"/>
            <w:hideMark/>
          </w:tcPr>
          <w:p w14:paraId="3A51865D" w14:textId="77777777" w:rsidR="007B2C26" w:rsidRPr="00107E4E" w:rsidRDefault="007B2C26" w:rsidP="00B96530">
            <w:pPr>
              <w:pStyle w:val="BodyText1"/>
              <w:spacing w:after="0"/>
            </w:pPr>
            <w:r w:rsidRPr="00107E4E">
              <w:rPr>
                <w:b/>
              </w:rPr>
              <w:t>PO</w:t>
            </w:r>
            <w:r>
              <w:rPr>
                <w:b/>
              </w:rPr>
              <w:t>14</w:t>
            </w:r>
            <w:r w:rsidRPr="00107E4E">
              <w:t xml:space="preserve"> Development is </w:t>
            </w:r>
            <w:r w:rsidRPr="00AB0C6C">
              <w:t>designed</w:t>
            </w:r>
            <w:r>
              <w:t>, constructed</w:t>
            </w:r>
            <w:r w:rsidRPr="00AB0C6C">
              <w:t xml:space="preserve"> and </w:t>
            </w:r>
            <w:r>
              <w:t>operated</w:t>
            </w:r>
            <w:r w:rsidRPr="00107E4E">
              <w:t xml:space="preserve"> so that the </w:t>
            </w:r>
            <w:r w:rsidRPr="00626F02">
              <w:t>modelled</w:t>
            </w:r>
            <w:r w:rsidRPr="00107E4E">
              <w:t xml:space="preserve"> blade </w:t>
            </w:r>
            <w:r w:rsidRPr="00107E4E">
              <w:rPr>
                <w:b/>
              </w:rPr>
              <w:t>shadow flicker</w:t>
            </w:r>
            <w:r w:rsidRPr="00107E4E">
              <w:t xml:space="preserve"> impacts on existing or approved </w:t>
            </w:r>
            <w:r w:rsidRPr="00107E4E">
              <w:rPr>
                <w:b/>
              </w:rPr>
              <w:t>sensitive land uses</w:t>
            </w:r>
            <w:r w:rsidRPr="00107E4E">
              <w:t xml:space="preserve"> do not exceed 30 hours per annum and 30 minutes per day.</w:t>
            </w:r>
          </w:p>
        </w:tc>
        <w:tc>
          <w:tcPr>
            <w:tcW w:w="5237" w:type="dxa"/>
          </w:tcPr>
          <w:p w14:paraId="76A129B9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C35AB" w14:paraId="4B95A409" w14:textId="1FCA939F" w:rsidTr="007B2C26">
        <w:tc>
          <w:tcPr>
            <w:tcW w:w="9356" w:type="dxa"/>
            <w:shd w:val="clear" w:color="auto" w:fill="DADADA" w:themeFill="accent6" w:themeFillShade="E6"/>
          </w:tcPr>
          <w:p w14:paraId="5EB7C88D" w14:textId="77777777" w:rsidR="007B2C26" w:rsidRPr="008C35AB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Workforce accommodation impacts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8E0684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E52C3" w14:paraId="3A37C504" w14:textId="189CC1EF" w:rsidTr="007B2C26">
        <w:tc>
          <w:tcPr>
            <w:tcW w:w="9356" w:type="dxa"/>
          </w:tcPr>
          <w:p w14:paraId="46C2CCCE" w14:textId="77777777" w:rsidR="007B2C26" w:rsidRPr="008E52C3" w:rsidRDefault="007B2C26" w:rsidP="00B96530">
            <w:pPr>
              <w:pStyle w:val="BodyText1"/>
              <w:spacing w:after="0"/>
              <w:rPr>
                <w:b/>
              </w:rPr>
            </w:pPr>
            <w:r w:rsidRPr="008E52C3">
              <w:rPr>
                <w:b/>
              </w:rPr>
              <w:t xml:space="preserve">PO15 </w:t>
            </w:r>
            <w:r w:rsidRPr="008E52C3">
              <w:rPr>
                <w:bCs/>
              </w:rPr>
              <w:t>On-site</w:t>
            </w:r>
            <w:r w:rsidRPr="008E52C3">
              <w:rPr>
                <w:b/>
              </w:rPr>
              <w:t xml:space="preserve"> workforce accommodation</w:t>
            </w:r>
            <w:r w:rsidRPr="008E52C3">
              <w:rPr>
                <w:bCs/>
              </w:rPr>
              <w:t xml:space="preserve"> associated with the construction of the </w:t>
            </w:r>
            <w:r w:rsidRPr="008E52C3">
              <w:rPr>
                <w:b/>
              </w:rPr>
              <w:t xml:space="preserve">wind farm, </w:t>
            </w:r>
            <w:r w:rsidRPr="008E52C3">
              <w:rPr>
                <w:bCs/>
              </w:rPr>
              <w:t>does not result in adverse impacts on surrounding communities and townships.</w:t>
            </w:r>
            <w:r w:rsidRPr="008E52C3">
              <w:rPr>
                <w:b/>
              </w:rPr>
              <w:t xml:space="preserve"> </w:t>
            </w:r>
          </w:p>
        </w:tc>
        <w:tc>
          <w:tcPr>
            <w:tcW w:w="5237" w:type="dxa"/>
          </w:tcPr>
          <w:p w14:paraId="50C8A858" w14:textId="77777777" w:rsidR="007B2C26" w:rsidRPr="008E52C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E52C3" w14:paraId="4A44CE8F" w14:textId="3CEF0C7D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088DFD8D" w14:textId="77777777" w:rsidR="007B2C26" w:rsidRPr="008E52C3" w:rsidRDefault="007B2C26" w:rsidP="00B96530">
            <w:pPr>
              <w:pStyle w:val="BodyText1"/>
              <w:spacing w:after="0"/>
              <w:rPr>
                <w:b/>
              </w:rPr>
            </w:pPr>
            <w:r w:rsidRPr="008E52C3">
              <w:rPr>
                <w:b/>
              </w:rPr>
              <w:t xml:space="preserve">Areas identified by state or local government planning instruments as having high scenic amenity 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BEED0E" w14:textId="77777777" w:rsidR="007B2C26" w:rsidRPr="008E52C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8E52C3" w14:paraId="594AB6D1" w14:textId="6C98FD29" w:rsidTr="007B2C26">
        <w:trPr>
          <w:trHeight w:val="723"/>
        </w:trPr>
        <w:tc>
          <w:tcPr>
            <w:tcW w:w="9356" w:type="dxa"/>
            <w:hideMark/>
          </w:tcPr>
          <w:p w14:paraId="4CB5109A" w14:textId="77777777" w:rsidR="007B2C26" w:rsidRPr="008E52C3" w:rsidRDefault="007B2C26" w:rsidP="00B96530">
            <w:pPr>
              <w:pStyle w:val="BodyText1"/>
              <w:spacing w:after="0"/>
            </w:pPr>
            <w:r w:rsidRPr="008E52C3">
              <w:rPr>
                <w:b/>
              </w:rPr>
              <w:t>PO16</w:t>
            </w:r>
            <w:r w:rsidRPr="008E52C3">
              <w:t xml:space="preserve"> Development in an area identified by state or local government planning instruments as having high </w:t>
            </w:r>
            <w:r w:rsidRPr="008E52C3">
              <w:rPr>
                <w:b/>
                <w:bCs/>
              </w:rPr>
              <w:t>scenic amenity</w:t>
            </w:r>
            <w:r w:rsidRPr="008E52C3">
              <w:t xml:space="preserve"> is sited and designed to protect the </w:t>
            </w:r>
            <w:r w:rsidRPr="008E52C3">
              <w:rPr>
                <w:b/>
              </w:rPr>
              <w:t>scenic amenity</w:t>
            </w:r>
            <w:r w:rsidRPr="008E52C3">
              <w:t xml:space="preserve"> and </w:t>
            </w:r>
            <w:r w:rsidRPr="008E52C3">
              <w:rPr>
                <w:b/>
              </w:rPr>
              <w:t>landscape values</w:t>
            </w:r>
            <w:r w:rsidRPr="008E52C3">
              <w:t xml:space="preserve"> of the locality and region.</w:t>
            </w:r>
          </w:p>
        </w:tc>
        <w:tc>
          <w:tcPr>
            <w:tcW w:w="5237" w:type="dxa"/>
          </w:tcPr>
          <w:p w14:paraId="44350E3F" w14:textId="77777777" w:rsidR="007B2C26" w:rsidRPr="008E52C3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084016" w14:paraId="16037CDD" w14:textId="42706692" w:rsidTr="007B2C26">
        <w:tc>
          <w:tcPr>
            <w:tcW w:w="9356" w:type="dxa"/>
            <w:shd w:val="clear" w:color="auto" w:fill="DADADA" w:themeFill="accent6" w:themeFillShade="E6"/>
          </w:tcPr>
          <w:p w14:paraId="225445B9" w14:textId="77777777" w:rsidR="007B2C26" w:rsidRPr="00084016" w:rsidRDefault="007B2C26" w:rsidP="00B96530">
            <w:pPr>
              <w:pStyle w:val="BodyText1"/>
              <w:spacing w:after="0"/>
            </w:pPr>
            <w:r w:rsidRPr="00382CC7">
              <w:rPr>
                <w:b/>
              </w:rPr>
              <w:t>Transport ne</w:t>
            </w:r>
            <w:r>
              <w:rPr>
                <w:b/>
              </w:rPr>
              <w:t>tworks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6D1BC727" w14:textId="77777777" w:rsidR="007B2C26" w:rsidRPr="00382CC7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25E6E17B" w14:textId="5DB41462" w:rsidTr="007B2C26">
        <w:tc>
          <w:tcPr>
            <w:tcW w:w="9356" w:type="dxa"/>
          </w:tcPr>
          <w:p w14:paraId="1ED9D5AC" w14:textId="77777777" w:rsidR="007B2C26" w:rsidRPr="00107E4E" w:rsidRDefault="007B2C26" w:rsidP="00B96530">
            <w:pPr>
              <w:pStyle w:val="BodyText1"/>
              <w:spacing w:after="0"/>
            </w:pPr>
            <w:r w:rsidRPr="00107E4E">
              <w:rPr>
                <w:b/>
              </w:rPr>
              <w:t>PO</w:t>
            </w:r>
            <w:r>
              <w:rPr>
                <w:b/>
              </w:rPr>
              <w:t xml:space="preserve">17 </w:t>
            </w:r>
            <w:r w:rsidRPr="00107E4E">
              <w:t xml:space="preserve">Construction activities associated with the development do not adversely </w:t>
            </w:r>
            <w:r w:rsidRPr="007C3330">
              <w:t xml:space="preserve">impact </w:t>
            </w:r>
            <w:r>
              <w:rPr>
                <w:bCs/>
              </w:rPr>
              <w:t xml:space="preserve">the efficiency and condition of </w:t>
            </w:r>
            <w:r w:rsidRPr="007C3330">
              <w:rPr>
                <w:b/>
                <w:bCs/>
              </w:rPr>
              <w:t>transport networks</w:t>
            </w:r>
            <w:r w:rsidRPr="007C3330">
              <w:t xml:space="preserve"> and infrastructure</w:t>
            </w:r>
            <w:r>
              <w:t xml:space="preserve"> nor </w:t>
            </w:r>
            <w:r w:rsidRPr="006617CC">
              <w:rPr>
                <w:bCs/>
              </w:rPr>
              <w:t>compromise the safety of users of the</w:t>
            </w:r>
            <w:r>
              <w:rPr>
                <w:b/>
              </w:rPr>
              <w:t xml:space="preserve"> transport network</w:t>
            </w:r>
            <w:r w:rsidRPr="007C3330">
              <w:t>.</w:t>
            </w:r>
          </w:p>
        </w:tc>
        <w:tc>
          <w:tcPr>
            <w:tcW w:w="5237" w:type="dxa"/>
          </w:tcPr>
          <w:p w14:paraId="607EDF1F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C2771E" w14:paraId="2D361283" w14:textId="7E429B33" w:rsidTr="007B2C26">
        <w:tc>
          <w:tcPr>
            <w:tcW w:w="9356" w:type="dxa"/>
          </w:tcPr>
          <w:p w14:paraId="2564F5CA" w14:textId="77777777" w:rsidR="007B2C26" w:rsidRPr="00C2771E" w:rsidRDefault="007B2C26" w:rsidP="00B96530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 xml:space="preserve">PO18 </w:t>
            </w:r>
            <w:r w:rsidRPr="004A7CF8">
              <w:rPr>
                <w:bCs/>
              </w:rPr>
              <w:t xml:space="preserve">Development delivers </w:t>
            </w:r>
            <w:r>
              <w:rPr>
                <w:bCs/>
              </w:rPr>
              <w:t xml:space="preserve">necessary upgrades to the </w:t>
            </w:r>
            <w:r w:rsidRPr="0064757E">
              <w:rPr>
                <w:b/>
              </w:rPr>
              <w:t>transport network</w:t>
            </w:r>
            <w:r>
              <w:rPr>
                <w:bCs/>
              </w:rPr>
              <w:t xml:space="preserve"> to ensure construction activities and ongoing maintenance do not adversely impact </w:t>
            </w:r>
            <w:r w:rsidRPr="007F7120">
              <w:rPr>
                <w:b/>
              </w:rPr>
              <w:t>transport networks</w:t>
            </w:r>
            <w:r>
              <w:rPr>
                <w:bCs/>
              </w:rPr>
              <w:t xml:space="preserve"> and infrastructure. </w:t>
            </w:r>
          </w:p>
        </w:tc>
        <w:tc>
          <w:tcPr>
            <w:tcW w:w="5237" w:type="dxa"/>
          </w:tcPr>
          <w:p w14:paraId="5C48E5CB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9A48F3" w14:paraId="1E4F3CA4" w14:textId="73A476BB" w:rsidTr="007B2C26">
        <w:tc>
          <w:tcPr>
            <w:tcW w:w="9356" w:type="dxa"/>
          </w:tcPr>
          <w:p w14:paraId="0E70F40D" w14:textId="77777777" w:rsidR="007B2C26" w:rsidRPr="009A48F3" w:rsidRDefault="007B2C26" w:rsidP="00B96530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 xml:space="preserve">PO19 </w:t>
            </w:r>
            <w:r>
              <w:rPr>
                <w:bCs/>
              </w:rPr>
              <w:t xml:space="preserve">Development demonstrates that a safe, viable and practical haulage route can be secured to accommodate the movement of </w:t>
            </w:r>
            <w:r w:rsidRPr="00D75A32">
              <w:rPr>
                <w:b/>
              </w:rPr>
              <w:t>oversize/overmass vehicles</w:t>
            </w:r>
            <w:r>
              <w:rPr>
                <w:bCs/>
              </w:rPr>
              <w:t xml:space="preserve"> during construction and ongoing maintenance activities.  </w:t>
            </w:r>
          </w:p>
        </w:tc>
        <w:tc>
          <w:tcPr>
            <w:tcW w:w="5237" w:type="dxa"/>
          </w:tcPr>
          <w:p w14:paraId="076BE9E9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14:paraId="0F2197B6" w14:textId="51F93A6E" w:rsidTr="007B2C26">
        <w:tc>
          <w:tcPr>
            <w:tcW w:w="9356" w:type="dxa"/>
          </w:tcPr>
          <w:p w14:paraId="60D60F9B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  <w:r w:rsidRPr="001E5491">
              <w:rPr>
                <w:b/>
              </w:rPr>
              <w:t>PO</w:t>
            </w:r>
            <w:r>
              <w:rPr>
                <w:b/>
              </w:rPr>
              <w:t xml:space="preserve">20 </w:t>
            </w:r>
            <w:r>
              <w:rPr>
                <w:bCs/>
              </w:rPr>
              <w:t xml:space="preserve">Development provides safe, efficient, and sustainable vehicular access to the site for all vehicle types anticipated through the construction, operation, maintenance and </w:t>
            </w:r>
            <w:r w:rsidRPr="0064757E">
              <w:rPr>
                <w:b/>
              </w:rPr>
              <w:t>decommissioning</w:t>
            </w:r>
            <w:r>
              <w:rPr>
                <w:bCs/>
              </w:rPr>
              <w:t xml:space="preserve"> of the </w:t>
            </w:r>
            <w:r w:rsidRPr="0064757E">
              <w:rPr>
                <w:b/>
              </w:rPr>
              <w:t>wind farm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</w:tcPr>
          <w:p w14:paraId="61435CEF" w14:textId="77777777" w:rsidR="007B2C26" w:rsidRPr="001E5491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107E4E" w14:paraId="3E12218C" w14:textId="705127E5" w:rsidTr="007B2C26">
        <w:tc>
          <w:tcPr>
            <w:tcW w:w="9356" w:type="dxa"/>
            <w:shd w:val="clear" w:color="auto" w:fill="DADADA" w:themeFill="accent6" w:themeFillShade="E6"/>
            <w:hideMark/>
          </w:tcPr>
          <w:p w14:paraId="16C5D1E6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107E4E">
              <w:rPr>
                <w:b/>
              </w:rPr>
              <w:lastRenderedPageBreak/>
              <w:t>Aviation safety, integrity and efficiency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4746BAF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DE04A9" w14:paraId="1156A369" w14:textId="3153FD34" w:rsidTr="007B2C26">
        <w:tc>
          <w:tcPr>
            <w:tcW w:w="9356" w:type="dxa"/>
          </w:tcPr>
          <w:p w14:paraId="589DCC27" w14:textId="77777777" w:rsidR="007B2C26" w:rsidRPr="00DE04A9" w:rsidRDefault="007B2C26" w:rsidP="00B96530">
            <w:pPr>
              <w:pStyle w:val="BodyText1"/>
              <w:spacing w:after="0"/>
            </w:pPr>
            <w:r w:rsidRPr="00DE04A9">
              <w:rPr>
                <w:b/>
              </w:rPr>
              <w:t>PO</w:t>
            </w:r>
            <w:r>
              <w:rPr>
                <w:b/>
              </w:rPr>
              <w:t>21</w:t>
            </w:r>
            <w:r w:rsidRPr="00DE04A9">
              <w:t xml:space="preserve"> Development does not adversely affect the safety, operational integrity and efficiency of </w:t>
            </w:r>
            <w:r w:rsidRPr="00DE04A9">
              <w:rPr>
                <w:b/>
              </w:rPr>
              <w:t>air services</w:t>
            </w:r>
            <w:r w:rsidRPr="00DE04A9">
              <w:t xml:space="preserve"> and aircraft operations as a result of its:</w:t>
            </w:r>
          </w:p>
          <w:p w14:paraId="38ADDB45" w14:textId="77777777" w:rsidR="007B2C26" w:rsidRPr="00DE04A9" w:rsidRDefault="007B2C26" w:rsidP="007B2C26">
            <w:pPr>
              <w:pStyle w:val="BodyText1"/>
              <w:numPr>
                <w:ilvl w:val="0"/>
                <w:numId w:val="36"/>
              </w:numPr>
              <w:spacing w:after="0"/>
            </w:pPr>
            <w:r w:rsidRPr="00DE04A9">
              <w:t>location;</w:t>
            </w:r>
          </w:p>
          <w:p w14:paraId="00C1BD83" w14:textId="77777777" w:rsidR="007B2C26" w:rsidRPr="00DE04A9" w:rsidRDefault="007B2C26" w:rsidP="007B2C26">
            <w:pPr>
              <w:pStyle w:val="BodyText1"/>
              <w:numPr>
                <w:ilvl w:val="0"/>
                <w:numId w:val="36"/>
              </w:numPr>
              <w:spacing w:after="0"/>
            </w:pPr>
            <w:r w:rsidRPr="00DE04A9">
              <w:t>siting;</w:t>
            </w:r>
          </w:p>
          <w:p w14:paraId="238FFD18" w14:textId="77777777" w:rsidR="007B2C26" w:rsidRDefault="007B2C26" w:rsidP="007B2C26">
            <w:pPr>
              <w:pStyle w:val="BodyText1"/>
              <w:numPr>
                <w:ilvl w:val="0"/>
                <w:numId w:val="36"/>
              </w:numPr>
              <w:spacing w:after="0"/>
            </w:pPr>
            <w:r w:rsidRPr="00DE04A9">
              <w:t>design;</w:t>
            </w:r>
          </w:p>
          <w:p w14:paraId="65ED4587" w14:textId="77777777" w:rsidR="007B2C26" w:rsidRPr="00DE04A9" w:rsidRDefault="007B2C26" w:rsidP="007B2C26">
            <w:pPr>
              <w:pStyle w:val="BodyText1"/>
              <w:numPr>
                <w:ilvl w:val="0"/>
                <w:numId w:val="36"/>
              </w:numPr>
              <w:spacing w:after="0"/>
            </w:pPr>
            <w:r>
              <w:t>construction;</w:t>
            </w:r>
          </w:p>
          <w:p w14:paraId="5A914025" w14:textId="77777777" w:rsidR="007B2C26" w:rsidRPr="00DE04A9" w:rsidRDefault="007B2C26" w:rsidP="007B2C26">
            <w:pPr>
              <w:pStyle w:val="BodyText1"/>
              <w:numPr>
                <w:ilvl w:val="0"/>
                <w:numId w:val="36"/>
              </w:numPr>
              <w:spacing w:after="0"/>
            </w:pPr>
            <w:r w:rsidRPr="00DE04A9">
              <w:t>operation.</w:t>
            </w:r>
          </w:p>
        </w:tc>
        <w:tc>
          <w:tcPr>
            <w:tcW w:w="5237" w:type="dxa"/>
          </w:tcPr>
          <w:p w14:paraId="7E258BA1" w14:textId="77777777" w:rsidR="007B2C26" w:rsidRPr="00DE04A9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DE04A9" w14:paraId="25E2E0F0" w14:textId="016A943B" w:rsidTr="007B2C26">
        <w:trPr>
          <w:trHeight w:val="355"/>
        </w:trPr>
        <w:tc>
          <w:tcPr>
            <w:tcW w:w="9356" w:type="dxa"/>
            <w:hideMark/>
          </w:tcPr>
          <w:p w14:paraId="43C7B010" w14:textId="77777777" w:rsidR="007B2C26" w:rsidRPr="00DE04A9" w:rsidRDefault="007B2C26" w:rsidP="00B96530">
            <w:pPr>
              <w:pStyle w:val="BodyText1"/>
              <w:spacing w:after="0"/>
            </w:pPr>
            <w:r w:rsidRPr="00DE04A9">
              <w:rPr>
                <w:b/>
              </w:rPr>
              <w:t>PO</w:t>
            </w:r>
            <w:r>
              <w:rPr>
                <w:b/>
              </w:rPr>
              <w:t>22</w:t>
            </w:r>
            <w:r w:rsidRPr="00DE04A9">
              <w:t xml:space="preserve"> Development includes lighting and marking measures that ensure the safety, operational integrity and efficiency of </w:t>
            </w:r>
            <w:r w:rsidRPr="00DE04A9">
              <w:rPr>
                <w:b/>
              </w:rPr>
              <w:t>air services</w:t>
            </w:r>
            <w:r w:rsidRPr="00DE04A9">
              <w:t xml:space="preserve"> and aircraft operations.</w:t>
            </w:r>
          </w:p>
          <w:p w14:paraId="5EBA2323" w14:textId="77777777" w:rsidR="007B2C26" w:rsidRPr="00DE04A9" w:rsidRDefault="007B2C26" w:rsidP="00B96530">
            <w:pPr>
              <w:pStyle w:val="BodyText1"/>
              <w:spacing w:after="0"/>
            </w:pPr>
          </w:p>
        </w:tc>
        <w:tc>
          <w:tcPr>
            <w:tcW w:w="5237" w:type="dxa"/>
          </w:tcPr>
          <w:p w14:paraId="70C54EE8" w14:textId="77777777" w:rsidR="007B2C26" w:rsidRPr="00DE04A9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DE04A9" w14:paraId="18E75001" w14:textId="5C711251" w:rsidTr="007B2C26">
        <w:tc>
          <w:tcPr>
            <w:tcW w:w="9356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0BDC2E42" w14:textId="77777777" w:rsidR="007B2C26" w:rsidRPr="00DE04A9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Decommissioning 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78D8925A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  <w:tr w:rsidR="007B2C26" w:rsidRPr="00DE04A9" w14:paraId="5A85113C" w14:textId="27737A3D" w:rsidTr="007B2C26">
        <w:tc>
          <w:tcPr>
            <w:tcW w:w="9356" w:type="dxa"/>
            <w:tcBorders>
              <w:bottom w:val="single" w:sz="2" w:space="0" w:color="auto"/>
            </w:tcBorders>
          </w:tcPr>
          <w:p w14:paraId="7CF4E869" w14:textId="77777777" w:rsidR="007B2C26" w:rsidRPr="00DE04A9" w:rsidRDefault="007B2C26" w:rsidP="00B9653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PO23 </w:t>
            </w:r>
            <w:r w:rsidRPr="00B9187D">
              <w:rPr>
                <w:bCs/>
              </w:rPr>
              <w:t>Relevant components of development</w:t>
            </w:r>
            <w:r>
              <w:rPr>
                <w:bCs/>
              </w:rPr>
              <w:t>,</w:t>
            </w:r>
            <w:r w:rsidRPr="00B9187D">
              <w:rPr>
                <w:bCs/>
              </w:rPr>
              <w:t xml:space="preserve"> both after completion of construction and</w:t>
            </w:r>
            <w:r>
              <w:rPr>
                <w:b/>
              </w:rPr>
              <w:t xml:space="preserve"> </w:t>
            </w:r>
            <w:r w:rsidRPr="00B9187D">
              <w:rPr>
                <w:bCs/>
              </w:rPr>
              <w:t>at cessation of operations</w:t>
            </w:r>
            <w:r>
              <w:rPr>
                <w:bCs/>
              </w:rPr>
              <w:t>,</w:t>
            </w:r>
            <w:r w:rsidRPr="00B9187D">
              <w:rPr>
                <w:bCs/>
              </w:rPr>
              <w:t xml:space="preserve"> </w:t>
            </w:r>
            <w:r>
              <w:rPr>
                <w:bCs/>
              </w:rPr>
              <w:t xml:space="preserve">are </w:t>
            </w:r>
            <w:r w:rsidRPr="005D5443">
              <w:rPr>
                <w:b/>
              </w:rPr>
              <w:t>decommissioned</w:t>
            </w:r>
            <w:r w:rsidRPr="00414396">
              <w:rPr>
                <w:b/>
              </w:rPr>
              <w:t xml:space="preserve"> </w:t>
            </w:r>
            <w:r w:rsidRPr="00E0432A">
              <w:rPr>
                <w:bCs/>
              </w:rPr>
              <w:t xml:space="preserve">in a timely </w:t>
            </w:r>
            <w:r>
              <w:rPr>
                <w:bCs/>
              </w:rPr>
              <w:t xml:space="preserve">and efficient </w:t>
            </w:r>
            <w:r w:rsidRPr="00E0432A">
              <w:rPr>
                <w:bCs/>
              </w:rPr>
              <w:t>manner</w:t>
            </w:r>
            <w:r>
              <w:rPr>
                <w:bCs/>
              </w:rPr>
              <w:t xml:space="preserve">. </w:t>
            </w:r>
            <w:r w:rsidRPr="00B9187D">
              <w:rPr>
                <w:b/>
              </w:rPr>
              <w:t>Decommissioning</w:t>
            </w:r>
            <w:r>
              <w:rPr>
                <w:bCs/>
              </w:rPr>
              <w:t xml:space="preserve"> ensures that materials removed from site destined for landfill are minimised while opportunities to </w:t>
            </w:r>
            <w:r>
              <w:t xml:space="preserve">reuse, recycle and /or repurpose are deployed to the greatest extent practicable. </w:t>
            </w:r>
            <w:r w:rsidRPr="00B9187D">
              <w:rPr>
                <w:b/>
                <w:bCs/>
              </w:rPr>
              <w:t>Decommissioning</w:t>
            </w:r>
            <w:r>
              <w:t xml:space="preserve"> at end of operations ensures disturbance footprints are </w:t>
            </w:r>
            <w:r w:rsidRPr="00B9187D">
              <w:rPr>
                <w:b/>
              </w:rPr>
              <w:t>rehabilitated</w:t>
            </w:r>
            <w:r>
              <w:t xml:space="preserve">, waterways and drainage patterns are reinstated. </w:t>
            </w:r>
          </w:p>
        </w:tc>
        <w:tc>
          <w:tcPr>
            <w:tcW w:w="5237" w:type="dxa"/>
            <w:tcBorders>
              <w:bottom w:val="single" w:sz="2" w:space="0" w:color="auto"/>
            </w:tcBorders>
          </w:tcPr>
          <w:p w14:paraId="14252D3C" w14:textId="77777777" w:rsidR="007B2C26" w:rsidRDefault="007B2C26" w:rsidP="00B96530">
            <w:pPr>
              <w:pStyle w:val="BodyText1"/>
              <w:spacing w:after="0"/>
              <w:rPr>
                <w:b/>
              </w:rPr>
            </w:pPr>
          </w:p>
        </w:tc>
      </w:tr>
    </w:tbl>
    <w:p w14:paraId="1276C9B0" w14:textId="77777777" w:rsidR="004663E2" w:rsidRPr="002C43EF" w:rsidRDefault="004663E2" w:rsidP="000323D3">
      <w:pPr>
        <w:pStyle w:val="BodyText1"/>
        <w:spacing w:after="0"/>
        <w:rPr>
          <w:b/>
          <w:sz w:val="32"/>
          <w:szCs w:val="32"/>
        </w:rPr>
      </w:pPr>
    </w:p>
    <w:bookmarkEnd w:id="0"/>
    <w:bookmarkEnd w:id="1"/>
    <w:bookmarkEnd w:id="2"/>
    <w:p w14:paraId="5E13E4C8" w14:textId="78B4B08A" w:rsidR="00CF3B82" w:rsidRPr="00107E4E" w:rsidRDefault="00CF3B82" w:rsidP="002C43EF">
      <w:pPr>
        <w:pStyle w:val="Heading2"/>
      </w:pPr>
    </w:p>
    <w:sectPr w:rsidR="00CF3B82" w:rsidRPr="00107E4E" w:rsidSect="002C43EF"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1105" w:bottom="1560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2A34" w14:textId="77777777" w:rsidR="008F773F" w:rsidRDefault="008F773F" w:rsidP="00BD277D">
      <w:r>
        <w:separator/>
      </w:r>
    </w:p>
  </w:endnote>
  <w:endnote w:type="continuationSeparator" w:id="0">
    <w:p w14:paraId="64E67645" w14:textId="77777777" w:rsidR="008F773F" w:rsidRDefault="008F773F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9430382"/>
      <w:docPartObj>
        <w:docPartGallery w:val="Page Numbers (Bottom of Page)"/>
        <w:docPartUnique/>
      </w:docPartObj>
    </w:sdtPr>
    <w:sdtEndPr>
      <w:rPr>
        <w:color w:val="262627" w:themeColor="text1" w:themeShade="80"/>
      </w:rPr>
    </w:sdtEndPr>
    <w:sdtContent>
      <w:sdt>
        <w:sdtPr>
          <w:rPr>
            <w:color w:val="262627" w:themeColor="text1" w:themeShade="80"/>
          </w:rPr>
          <w:id w:val="-1241248218"/>
          <w:docPartObj>
            <w:docPartGallery w:val="Page Numbers (Top of Page)"/>
            <w:docPartUnique/>
          </w:docPartObj>
        </w:sdtPr>
        <w:sdtEndPr/>
        <w:sdtContent>
          <w:p w14:paraId="13103B0E" w14:textId="77777777" w:rsidR="002C43EF" w:rsidRPr="001A66E0" w:rsidRDefault="002C43EF" w:rsidP="002C43EF">
            <w:pPr>
              <w:pStyle w:val="Footer"/>
              <w:ind w:firstLine="1440"/>
              <w:jc w:val="right"/>
              <w:rPr>
                <w:color w:val="262627" w:themeColor="text1" w:themeShade="80"/>
              </w:rPr>
            </w:pPr>
            <w:r w:rsidRPr="001A66E0">
              <w:rPr>
                <w:color w:val="262627" w:themeColor="text1" w:themeShade="80"/>
              </w:rPr>
              <w:t xml:space="preserve">    </w:t>
            </w:r>
          </w:p>
        </w:sdtContent>
      </w:sdt>
    </w:sdtContent>
  </w:sdt>
  <w:p w14:paraId="7CAE6E4D" w14:textId="1BFF2DC5" w:rsidR="00B608E6" w:rsidRPr="001A66E0" w:rsidRDefault="002C43EF" w:rsidP="002C43EF">
    <w:pPr>
      <w:pStyle w:val="Footer"/>
      <w:ind w:left="-56"/>
      <w:rPr>
        <w:color w:val="262627" w:themeColor="text1" w:themeShade="80"/>
      </w:rPr>
    </w:pPr>
    <w:r w:rsidRPr="001A66E0">
      <w:rPr>
        <w:color w:val="262627" w:themeColor="text1" w:themeShade="80"/>
      </w:rPr>
      <w:t>State Development Assessment Provisions v3.</w:t>
    </w:r>
    <w:r w:rsidR="00B03A29">
      <w:rPr>
        <w:color w:val="262627" w:themeColor="text1" w:themeShade="80"/>
      </w:rPr>
      <w:t>1</w:t>
    </w:r>
    <w:r w:rsidRPr="001A66E0">
      <w:rPr>
        <w:color w:val="262627" w:themeColor="text1" w:themeShade="80"/>
      </w:rPr>
      <w:t xml:space="preserve"> </w:t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  <w:t xml:space="preserve">          Page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PAGE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1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 xml:space="preserve"> of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NUMPAGES 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4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>State code 23: Wind farm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636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B9DF9E" w14:textId="65BA1E67" w:rsidR="002C43EF" w:rsidRDefault="002C43EF" w:rsidP="002C43EF">
            <w:pPr>
              <w:pStyle w:val="Footer"/>
              <w:ind w:firstLine="1440"/>
              <w:jc w:val="right"/>
            </w:pPr>
            <w:r>
              <w:t xml:space="preserve">    </w:t>
            </w:r>
          </w:p>
        </w:sdtContent>
      </w:sdt>
    </w:sdtContent>
  </w:sdt>
  <w:p w14:paraId="0FE8B0B4" w14:textId="31E10307" w:rsidR="00B608E6" w:rsidRPr="002C43EF" w:rsidRDefault="002C43EF" w:rsidP="002C43EF">
    <w:pPr>
      <w:pStyle w:val="Footer"/>
      <w:ind w:left="-56"/>
      <w:rPr>
        <w:color w:val="auto"/>
      </w:rPr>
    </w:pPr>
    <w:r w:rsidRPr="006E27B4">
      <w:rPr>
        <w:color w:val="auto"/>
      </w:rPr>
      <w:t>State Development Assessment Provisions v3.0</w:t>
    </w:r>
    <w:r w:rsidRPr="002C43EF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 w:rsidRPr="006E27B4">
      <w:rPr>
        <w:color w:val="auto"/>
      </w:rPr>
      <w:t>State code 23: Wind farm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E692" w14:textId="77777777" w:rsidR="008F773F" w:rsidRDefault="008F773F" w:rsidP="00BD277D">
      <w:r>
        <w:separator/>
      </w:r>
    </w:p>
  </w:footnote>
  <w:footnote w:type="continuationSeparator" w:id="0">
    <w:p w14:paraId="1CC0B256" w14:textId="77777777" w:rsidR="008F773F" w:rsidRDefault="008F773F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EC1D" w14:textId="1C5AB1DC" w:rsidR="00B608E6" w:rsidRDefault="00B608E6" w:rsidP="00532015">
    <w:pPr>
      <w:pStyle w:val="Header"/>
    </w:pP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9936B5"/>
    <w:multiLevelType w:val="hybridMultilevel"/>
    <w:tmpl w:val="F8185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83565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F4BDA"/>
    <w:multiLevelType w:val="hybridMultilevel"/>
    <w:tmpl w:val="56044C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27D33"/>
    <w:multiLevelType w:val="hybridMultilevel"/>
    <w:tmpl w:val="C7B2B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B03CA"/>
    <w:multiLevelType w:val="hybridMultilevel"/>
    <w:tmpl w:val="3480A2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DD6017"/>
    <w:multiLevelType w:val="hybridMultilevel"/>
    <w:tmpl w:val="4EACA6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81346"/>
    <w:multiLevelType w:val="hybridMultilevel"/>
    <w:tmpl w:val="1920526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7905B0D"/>
    <w:multiLevelType w:val="multilevel"/>
    <w:tmpl w:val="B11E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3B1A0EC9"/>
    <w:multiLevelType w:val="hybridMultilevel"/>
    <w:tmpl w:val="CC764580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BAC6DAF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05E5D"/>
    <w:multiLevelType w:val="hybridMultilevel"/>
    <w:tmpl w:val="AD623EFE"/>
    <w:lvl w:ilvl="0" w:tplc="172AE4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7071BF9"/>
    <w:multiLevelType w:val="hybridMultilevel"/>
    <w:tmpl w:val="C21638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B3A283A"/>
    <w:multiLevelType w:val="hybridMultilevel"/>
    <w:tmpl w:val="F94450B8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B6F3439"/>
    <w:multiLevelType w:val="hybridMultilevel"/>
    <w:tmpl w:val="57B4E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0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2" w15:restartNumberingAfterBreak="0">
    <w:nsid w:val="63934C61"/>
    <w:multiLevelType w:val="hybridMultilevel"/>
    <w:tmpl w:val="B8FAF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0705"/>
    <w:multiLevelType w:val="hybridMultilevel"/>
    <w:tmpl w:val="19205268"/>
    <w:lvl w:ilvl="0" w:tplc="15D4A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3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100404">
    <w:abstractNumId w:val="8"/>
  </w:num>
  <w:num w:numId="2" w16cid:durableId="916093866">
    <w:abstractNumId w:val="7"/>
  </w:num>
  <w:num w:numId="3" w16cid:durableId="1084257188">
    <w:abstractNumId w:val="37"/>
  </w:num>
  <w:num w:numId="4" w16cid:durableId="326594121">
    <w:abstractNumId w:val="9"/>
  </w:num>
  <w:num w:numId="5" w16cid:durableId="1071536857">
    <w:abstractNumId w:val="35"/>
  </w:num>
  <w:num w:numId="6" w16cid:durableId="557862518">
    <w:abstractNumId w:val="30"/>
  </w:num>
  <w:num w:numId="7" w16cid:durableId="795564759">
    <w:abstractNumId w:val="24"/>
  </w:num>
  <w:num w:numId="8" w16cid:durableId="1241670694">
    <w:abstractNumId w:val="6"/>
  </w:num>
  <w:num w:numId="9" w16cid:durableId="1251424859">
    <w:abstractNumId w:val="5"/>
  </w:num>
  <w:num w:numId="10" w16cid:durableId="482312126">
    <w:abstractNumId w:val="4"/>
  </w:num>
  <w:num w:numId="11" w16cid:durableId="1282032681">
    <w:abstractNumId w:val="3"/>
  </w:num>
  <w:num w:numId="12" w16cid:durableId="1069881885">
    <w:abstractNumId w:val="2"/>
  </w:num>
  <w:num w:numId="13" w16cid:durableId="1663925547">
    <w:abstractNumId w:val="1"/>
  </w:num>
  <w:num w:numId="14" w16cid:durableId="2116364928">
    <w:abstractNumId w:val="0"/>
  </w:num>
  <w:num w:numId="15" w16cid:durableId="425542006">
    <w:abstractNumId w:val="26"/>
  </w:num>
  <w:num w:numId="16" w16cid:durableId="1476874881">
    <w:abstractNumId w:val="31"/>
  </w:num>
  <w:num w:numId="17" w16cid:durableId="1121606526">
    <w:abstractNumId w:val="20"/>
  </w:num>
  <w:num w:numId="18" w16cid:durableId="954945082">
    <w:abstractNumId w:val="38"/>
  </w:num>
  <w:num w:numId="19" w16cid:durableId="719986048">
    <w:abstractNumId w:val="34"/>
  </w:num>
  <w:num w:numId="20" w16cid:durableId="1032152541">
    <w:abstractNumId w:val="36"/>
  </w:num>
  <w:num w:numId="21" w16cid:durableId="716587300">
    <w:abstractNumId w:val="13"/>
  </w:num>
  <w:num w:numId="22" w16cid:durableId="98540206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5323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994566">
    <w:abstractNumId w:val="16"/>
  </w:num>
  <w:num w:numId="25" w16cid:durableId="65611746">
    <w:abstractNumId w:val="12"/>
  </w:num>
  <w:num w:numId="26" w16cid:durableId="1278872960">
    <w:abstractNumId w:val="25"/>
  </w:num>
  <w:num w:numId="27" w16cid:durableId="1973514693">
    <w:abstractNumId w:val="17"/>
  </w:num>
  <w:num w:numId="28" w16cid:durableId="1725785874">
    <w:abstractNumId w:val="22"/>
  </w:num>
  <w:num w:numId="29" w16cid:durableId="243995084">
    <w:abstractNumId w:val="11"/>
  </w:num>
  <w:num w:numId="30" w16cid:durableId="1566211353">
    <w:abstractNumId w:val="32"/>
  </w:num>
  <w:num w:numId="31" w16cid:durableId="1341548607">
    <w:abstractNumId w:val="33"/>
  </w:num>
  <w:num w:numId="32" w16cid:durableId="411125735">
    <w:abstractNumId w:val="23"/>
  </w:num>
  <w:num w:numId="33" w16cid:durableId="536040289">
    <w:abstractNumId w:val="19"/>
  </w:num>
  <w:num w:numId="34" w16cid:durableId="1056708648">
    <w:abstractNumId w:val="27"/>
  </w:num>
  <w:num w:numId="35" w16cid:durableId="899443733">
    <w:abstractNumId w:val="21"/>
  </w:num>
  <w:num w:numId="36" w16cid:durableId="1356887721">
    <w:abstractNumId w:val="18"/>
  </w:num>
  <w:num w:numId="37" w16cid:durableId="70856805">
    <w:abstractNumId w:val="28"/>
  </w:num>
  <w:num w:numId="38" w16cid:durableId="1319266168">
    <w:abstractNumId w:val="15"/>
  </w:num>
  <w:num w:numId="39" w16cid:durableId="971785773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663E"/>
    <w:rsid w:val="00030EB0"/>
    <w:rsid w:val="000323D3"/>
    <w:rsid w:val="00064B7E"/>
    <w:rsid w:val="00074FA8"/>
    <w:rsid w:val="0008396D"/>
    <w:rsid w:val="00085D02"/>
    <w:rsid w:val="00087265"/>
    <w:rsid w:val="00094E59"/>
    <w:rsid w:val="00096DB8"/>
    <w:rsid w:val="000D098A"/>
    <w:rsid w:val="000E2F93"/>
    <w:rsid w:val="00105644"/>
    <w:rsid w:val="00106D10"/>
    <w:rsid w:val="00107E4E"/>
    <w:rsid w:val="001200D5"/>
    <w:rsid w:val="00122104"/>
    <w:rsid w:val="001228B1"/>
    <w:rsid w:val="0012334C"/>
    <w:rsid w:val="00123576"/>
    <w:rsid w:val="001356C7"/>
    <w:rsid w:val="00143113"/>
    <w:rsid w:val="00154F1B"/>
    <w:rsid w:val="00162A0D"/>
    <w:rsid w:val="00193786"/>
    <w:rsid w:val="00197C5B"/>
    <w:rsid w:val="001A160D"/>
    <w:rsid w:val="001A66E0"/>
    <w:rsid w:val="001A79B8"/>
    <w:rsid w:val="001B73D8"/>
    <w:rsid w:val="001D5F10"/>
    <w:rsid w:val="001D7892"/>
    <w:rsid w:val="001E1804"/>
    <w:rsid w:val="001E6539"/>
    <w:rsid w:val="001E7D2E"/>
    <w:rsid w:val="00206705"/>
    <w:rsid w:val="00226A36"/>
    <w:rsid w:val="00231993"/>
    <w:rsid w:val="00244798"/>
    <w:rsid w:val="0024697E"/>
    <w:rsid w:val="00254323"/>
    <w:rsid w:val="00257DCE"/>
    <w:rsid w:val="00272518"/>
    <w:rsid w:val="002A011E"/>
    <w:rsid w:val="002B225A"/>
    <w:rsid w:val="002C1061"/>
    <w:rsid w:val="002C3FA1"/>
    <w:rsid w:val="002C43EF"/>
    <w:rsid w:val="002C46DB"/>
    <w:rsid w:val="002C5C4D"/>
    <w:rsid w:val="002E693B"/>
    <w:rsid w:val="002F676B"/>
    <w:rsid w:val="00307A6B"/>
    <w:rsid w:val="003101D3"/>
    <w:rsid w:val="00314210"/>
    <w:rsid w:val="00314900"/>
    <w:rsid w:val="00315F07"/>
    <w:rsid w:val="003435C3"/>
    <w:rsid w:val="00356C3E"/>
    <w:rsid w:val="003A6863"/>
    <w:rsid w:val="003A6D48"/>
    <w:rsid w:val="003C4633"/>
    <w:rsid w:val="003E7465"/>
    <w:rsid w:val="003F20C0"/>
    <w:rsid w:val="003F3A5D"/>
    <w:rsid w:val="004026BD"/>
    <w:rsid w:val="00402A87"/>
    <w:rsid w:val="00411CF6"/>
    <w:rsid w:val="004275F3"/>
    <w:rsid w:val="00430994"/>
    <w:rsid w:val="004663E2"/>
    <w:rsid w:val="004872D4"/>
    <w:rsid w:val="004946C2"/>
    <w:rsid w:val="004A4386"/>
    <w:rsid w:val="004A4DAC"/>
    <w:rsid w:val="004A5832"/>
    <w:rsid w:val="004B2A18"/>
    <w:rsid w:val="004C64E3"/>
    <w:rsid w:val="00502972"/>
    <w:rsid w:val="00516569"/>
    <w:rsid w:val="00532015"/>
    <w:rsid w:val="00564475"/>
    <w:rsid w:val="00581E47"/>
    <w:rsid w:val="005902E4"/>
    <w:rsid w:val="00595F41"/>
    <w:rsid w:val="005A2D0C"/>
    <w:rsid w:val="005A484A"/>
    <w:rsid w:val="005C0612"/>
    <w:rsid w:val="005C57C6"/>
    <w:rsid w:val="005D2AC3"/>
    <w:rsid w:val="005E08E7"/>
    <w:rsid w:val="006226A2"/>
    <w:rsid w:val="00652652"/>
    <w:rsid w:val="00653530"/>
    <w:rsid w:val="00656AE4"/>
    <w:rsid w:val="006672C7"/>
    <w:rsid w:val="00667FD7"/>
    <w:rsid w:val="00670E5C"/>
    <w:rsid w:val="006721DE"/>
    <w:rsid w:val="006730FC"/>
    <w:rsid w:val="00676481"/>
    <w:rsid w:val="006846A2"/>
    <w:rsid w:val="00696F6B"/>
    <w:rsid w:val="00697CD4"/>
    <w:rsid w:val="006D14BD"/>
    <w:rsid w:val="006D23C5"/>
    <w:rsid w:val="006D3CED"/>
    <w:rsid w:val="006D651E"/>
    <w:rsid w:val="006E020D"/>
    <w:rsid w:val="006E1597"/>
    <w:rsid w:val="006E27B4"/>
    <w:rsid w:val="00700873"/>
    <w:rsid w:val="007054BD"/>
    <w:rsid w:val="007063A0"/>
    <w:rsid w:val="00710940"/>
    <w:rsid w:val="00712B1E"/>
    <w:rsid w:val="00720775"/>
    <w:rsid w:val="0072614F"/>
    <w:rsid w:val="007335FC"/>
    <w:rsid w:val="00735169"/>
    <w:rsid w:val="00740387"/>
    <w:rsid w:val="007609B1"/>
    <w:rsid w:val="00761ACF"/>
    <w:rsid w:val="0076492F"/>
    <w:rsid w:val="007663EA"/>
    <w:rsid w:val="00780D87"/>
    <w:rsid w:val="00795FA6"/>
    <w:rsid w:val="007A3F67"/>
    <w:rsid w:val="007B2C26"/>
    <w:rsid w:val="007C4A3F"/>
    <w:rsid w:val="007E1FC7"/>
    <w:rsid w:val="007E3623"/>
    <w:rsid w:val="007E4686"/>
    <w:rsid w:val="007E747B"/>
    <w:rsid w:val="007F3190"/>
    <w:rsid w:val="007F3A23"/>
    <w:rsid w:val="00830D69"/>
    <w:rsid w:val="00841845"/>
    <w:rsid w:val="00850269"/>
    <w:rsid w:val="00871A1B"/>
    <w:rsid w:val="00873FCB"/>
    <w:rsid w:val="00882688"/>
    <w:rsid w:val="00896055"/>
    <w:rsid w:val="008B13F2"/>
    <w:rsid w:val="008B5AFA"/>
    <w:rsid w:val="008B5DF9"/>
    <w:rsid w:val="008D211D"/>
    <w:rsid w:val="008D2E01"/>
    <w:rsid w:val="008D4050"/>
    <w:rsid w:val="008E74F3"/>
    <w:rsid w:val="008F468C"/>
    <w:rsid w:val="008F56CB"/>
    <w:rsid w:val="008F773F"/>
    <w:rsid w:val="00902DF1"/>
    <w:rsid w:val="0091044D"/>
    <w:rsid w:val="009123B9"/>
    <w:rsid w:val="00917804"/>
    <w:rsid w:val="00922486"/>
    <w:rsid w:val="0093024C"/>
    <w:rsid w:val="009305E2"/>
    <w:rsid w:val="00933A38"/>
    <w:rsid w:val="00945D43"/>
    <w:rsid w:val="00945D60"/>
    <w:rsid w:val="00947F7C"/>
    <w:rsid w:val="009506CB"/>
    <w:rsid w:val="00955026"/>
    <w:rsid w:val="00956980"/>
    <w:rsid w:val="00973BB8"/>
    <w:rsid w:val="00982128"/>
    <w:rsid w:val="00983FF0"/>
    <w:rsid w:val="00984D6C"/>
    <w:rsid w:val="009A3F9B"/>
    <w:rsid w:val="009D325F"/>
    <w:rsid w:val="009E1E2F"/>
    <w:rsid w:val="009E48AA"/>
    <w:rsid w:val="009E4F55"/>
    <w:rsid w:val="009F3F00"/>
    <w:rsid w:val="009F6587"/>
    <w:rsid w:val="00A015E5"/>
    <w:rsid w:val="00A148EE"/>
    <w:rsid w:val="00A21822"/>
    <w:rsid w:val="00A40966"/>
    <w:rsid w:val="00A532DA"/>
    <w:rsid w:val="00A621E6"/>
    <w:rsid w:val="00A80336"/>
    <w:rsid w:val="00A85036"/>
    <w:rsid w:val="00A9046E"/>
    <w:rsid w:val="00A9471D"/>
    <w:rsid w:val="00AA58D4"/>
    <w:rsid w:val="00AD591D"/>
    <w:rsid w:val="00AF6057"/>
    <w:rsid w:val="00B03A29"/>
    <w:rsid w:val="00B12399"/>
    <w:rsid w:val="00B42763"/>
    <w:rsid w:val="00B5459B"/>
    <w:rsid w:val="00B608E6"/>
    <w:rsid w:val="00B677A5"/>
    <w:rsid w:val="00B87884"/>
    <w:rsid w:val="00BA5050"/>
    <w:rsid w:val="00BB3FBB"/>
    <w:rsid w:val="00BB454A"/>
    <w:rsid w:val="00BB73C1"/>
    <w:rsid w:val="00BC3A48"/>
    <w:rsid w:val="00BC66D3"/>
    <w:rsid w:val="00BC6DC8"/>
    <w:rsid w:val="00BD264E"/>
    <w:rsid w:val="00BD277D"/>
    <w:rsid w:val="00BD6E0D"/>
    <w:rsid w:val="00C02CDF"/>
    <w:rsid w:val="00C030E6"/>
    <w:rsid w:val="00C06D73"/>
    <w:rsid w:val="00C1522F"/>
    <w:rsid w:val="00C16CCA"/>
    <w:rsid w:val="00C17CB4"/>
    <w:rsid w:val="00C26B34"/>
    <w:rsid w:val="00C33FFB"/>
    <w:rsid w:val="00C47AC7"/>
    <w:rsid w:val="00C50692"/>
    <w:rsid w:val="00C619A0"/>
    <w:rsid w:val="00C64877"/>
    <w:rsid w:val="00C922B0"/>
    <w:rsid w:val="00C92E52"/>
    <w:rsid w:val="00C9609E"/>
    <w:rsid w:val="00CA0370"/>
    <w:rsid w:val="00CA0FCE"/>
    <w:rsid w:val="00CA1E1F"/>
    <w:rsid w:val="00CA42AB"/>
    <w:rsid w:val="00CB6431"/>
    <w:rsid w:val="00CB6CA5"/>
    <w:rsid w:val="00CC186A"/>
    <w:rsid w:val="00CC31C5"/>
    <w:rsid w:val="00CC611C"/>
    <w:rsid w:val="00CF360E"/>
    <w:rsid w:val="00CF3B82"/>
    <w:rsid w:val="00CF4022"/>
    <w:rsid w:val="00CF6C61"/>
    <w:rsid w:val="00CF6ED2"/>
    <w:rsid w:val="00D03D58"/>
    <w:rsid w:val="00D0693C"/>
    <w:rsid w:val="00D13539"/>
    <w:rsid w:val="00D2011A"/>
    <w:rsid w:val="00D2404B"/>
    <w:rsid w:val="00D24513"/>
    <w:rsid w:val="00D279F6"/>
    <w:rsid w:val="00D401C2"/>
    <w:rsid w:val="00D46F8A"/>
    <w:rsid w:val="00D52CA0"/>
    <w:rsid w:val="00D55D20"/>
    <w:rsid w:val="00D630ED"/>
    <w:rsid w:val="00D63ED7"/>
    <w:rsid w:val="00D70FE3"/>
    <w:rsid w:val="00D93D9F"/>
    <w:rsid w:val="00D94659"/>
    <w:rsid w:val="00DA4073"/>
    <w:rsid w:val="00DA5B36"/>
    <w:rsid w:val="00DD15BA"/>
    <w:rsid w:val="00DF02DD"/>
    <w:rsid w:val="00DF0BF2"/>
    <w:rsid w:val="00DF3609"/>
    <w:rsid w:val="00DF400A"/>
    <w:rsid w:val="00DF4EDA"/>
    <w:rsid w:val="00E070C3"/>
    <w:rsid w:val="00E10FAF"/>
    <w:rsid w:val="00E1207A"/>
    <w:rsid w:val="00E362D6"/>
    <w:rsid w:val="00E37117"/>
    <w:rsid w:val="00E54785"/>
    <w:rsid w:val="00E66F02"/>
    <w:rsid w:val="00ED7A6E"/>
    <w:rsid w:val="00EF65DD"/>
    <w:rsid w:val="00F03E2B"/>
    <w:rsid w:val="00F17F85"/>
    <w:rsid w:val="00F30519"/>
    <w:rsid w:val="00F32D03"/>
    <w:rsid w:val="00F32EA5"/>
    <w:rsid w:val="00F46BE7"/>
    <w:rsid w:val="00F46CF4"/>
    <w:rsid w:val="00F52090"/>
    <w:rsid w:val="00F552F8"/>
    <w:rsid w:val="00F64966"/>
    <w:rsid w:val="00F743EE"/>
    <w:rsid w:val="00F773B1"/>
    <w:rsid w:val="00F81767"/>
    <w:rsid w:val="00F90F86"/>
    <w:rsid w:val="00FA2C53"/>
    <w:rsid w:val="00FA3161"/>
    <w:rsid w:val="00FB6532"/>
    <w:rsid w:val="00FD12F3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A5E0EC-AC8A-41AB-99DE-E5E9D579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Corey Culpitt</cp:lastModifiedBy>
  <cp:revision>2</cp:revision>
  <cp:lastPrinted>2021-07-23T01:32:00Z</cp:lastPrinted>
  <dcterms:created xsi:type="dcterms:W3CDTF">2024-09-19T01:00:00Z</dcterms:created>
  <dcterms:modified xsi:type="dcterms:W3CDTF">2024-09-19T01:00:00Z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